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43F2">
      <w:pPr>
        <w:kinsoku w:val="0"/>
        <w:overflowPunct w:val="0"/>
        <w:autoSpaceDE/>
        <w:autoSpaceDN/>
        <w:adjustRightInd/>
        <w:spacing w:line="273"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RESOLUCION No. TAT-3194-2017</w:t>
      </w:r>
    </w:p>
    <w:p w:rsidR="00000000" w:rsidRDefault="009A43F2">
      <w:pPr>
        <w:kinsoku w:val="0"/>
        <w:overflowPunct w:val="0"/>
        <w:autoSpaceDE/>
        <w:autoSpaceDN/>
        <w:adjustRightInd/>
        <w:spacing w:before="567" w:line="285" w:lineRule="exact"/>
        <w:ind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w:t>
      </w:r>
      <w:r>
        <w:rPr>
          <w:rFonts w:ascii="Verdana" w:hAnsi="Verdana" w:cs="Verdana"/>
          <w:sz w:val="23"/>
          <w:szCs w:val="23"/>
          <w:lang w:val="es-ES" w:eastAsia="es-ES"/>
        </w:rPr>
        <w:t>, a las diez horas dieciocho minutos del dos de marzo dos mil diecisiete.</w:t>
      </w:r>
    </w:p>
    <w:p w:rsidR="00000000" w:rsidRDefault="009A43F2">
      <w:pPr>
        <w:kinsoku w:val="0"/>
        <w:overflowPunct w:val="0"/>
        <w:autoSpaceDE/>
        <w:autoSpaceDN/>
        <w:adjustRightInd/>
        <w:spacing w:before="292" w:line="281" w:lineRule="exact"/>
        <w:ind w:right="216"/>
        <w:jc w:val="both"/>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 xml:space="preserve">Recurso de Apelación y Nulidad concomitante, </w:t>
      </w:r>
      <w:r>
        <w:rPr>
          <w:rFonts w:ascii="Verdana" w:hAnsi="Verdana" w:cs="Verdana"/>
          <w:spacing w:val="-7"/>
          <w:sz w:val="23"/>
          <w:szCs w:val="23"/>
          <w:lang w:val="es-ES" w:eastAsia="es-ES"/>
        </w:rPr>
        <w:t xml:space="preserve">interpuesto por </w:t>
      </w:r>
      <w:r>
        <w:rPr>
          <w:rFonts w:ascii="Verdana" w:hAnsi="Verdana" w:cs="Verdana"/>
          <w:b/>
          <w:bCs/>
          <w:spacing w:val="-7"/>
          <w:sz w:val="23"/>
          <w:szCs w:val="23"/>
          <w:lang w:val="es-ES" w:eastAsia="es-ES"/>
        </w:rPr>
        <w:t>E.J.M.</w:t>
      </w:r>
      <w:r>
        <w:rPr>
          <w:rFonts w:ascii="Verdana" w:hAnsi="Verdana" w:cs="Verdana"/>
          <w:b/>
          <w:bCs/>
          <w:spacing w:val="-7"/>
          <w:sz w:val="23"/>
          <w:szCs w:val="23"/>
          <w:lang w:val="es-ES" w:eastAsia="es-ES"/>
        </w:rPr>
        <w:t>, CEDULA DE IDENTIDAD NÚMERO …</w:t>
      </w:r>
      <w:r>
        <w:rPr>
          <w:rFonts w:ascii="Verdana" w:hAnsi="Verdana" w:cs="Verdana"/>
          <w:b/>
          <w:bCs/>
          <w:spacing w:val="-7"/>
          <w:sz w:val="23"/>
          <w:szCs w:val="23"/>
          <w:lang w:val="es-ES" w:eastAsia="es-ES"/>
        </w:rPr>
        <w:t xml:space="preserve">, </w:t>
      </w:r>
      <w:r>
        <w:rPr>
          <w:rFonts w:ascii="Verdana" w:hAnsi="Verdana" w:cs="Verdana"/>
          <w:spacing w:val="-7"/>
          <w:sz w:val="23"/>
          <w:szCs w:val="23"/>
          <w:lang w:val="es-ES" w:eastAsia="es-ES"/>
        </w:rPr>
        <w:t xml:space="preserve">contra </w:t>
      </w:r>
      <w:r>
        <w:rPr>
          <w:rFonts w:ascii="Verdana" w:hAnsi="Verdana" w:cs="Verdana"/>
          <w:b/>
          <w:bCs/>
          <w:spacing w:val="-7"/>
          <w:sz w:val="23"/>
          <w:szCs w:val="23"/>
          <w:lang w:val="es-ES" w:eastAsia="es-ES"/>
        </w:rPr>
        <w:t>el oficio DAJ-INF-2016-0110 de 23 de diciembre de 2016 y</w:t>
      </w:r>
      <w:r>
        <w:rPr>
          <w:rFonts w:ascii="Verdana" w:hAnsi="Verdana" w:cs="Verdana"/>
          <w:b/>
          <w:bCs/>
          <w:spacing w:val="-7"/>
          <w:sz w:val="23"/>
          <w:szCs w:val="23"/>
          <w:lang w:val="es-ES" w:eastAsia="es-ES"/>
        </w:rPr>
        <w:t xml:space="preserve"> la Resolución de 13 de enero de 2017, </w:t>
      </w:r>
      <w:r>
        <w:rPr>
          <w:rFonts w:ascii="Verdana" w:hAnsi="Verdana" w:cs="Verdana"/>
          <w:spacing w:val="-7"/>
          <w:sz w:val="23"/>
          <w:szCs w:val="23"/>
          <w:lang w:val="es-ES" w:eastAsia="es-ES"/>
        </w:rPr>
        <w:t xml:space="preserve">dictado por la JUNTA DIRECTIVA DEL CONSEJO DE TRANSPORTE PÚBLICO. </w:t>
      </w:r>
      <w:r>
        <w:rPr>
          <w:rFonts w:ascii="Verdana" w:hAnsi="Verdana" w:cs="Verdana"/>
          <w:b/>
          <w:bCs/>
          <w:spacing w:val="-7"/>
          <w:sz w:val="23"/>
          <w:szCs w:val="23"/>
          <w:lang w:val="es-ES" w:eastAsia="es-ES"/>
        </w:rPr>
        <w:t>El caso se tramita en Expediente Administrativo N. TAT-020-17.</w:t>
      </w:r>
    </w:p>
    <w:p w:rsidR="00000000" w:rsidRDefault="009A43F2">
      <w:pPr>
        <w:kinsoku w:val="0"/>
        <w:overflowPunct w:val="0"/>
        <w:autoSpaceDE/>
        <w:autoSpaceDN/>
        <w:adjustRightInd/>
        <w:spacing w:before="582" w:line="275"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RESULTANDO:</w:t>
      </w:r>
    </w:p>
    <w:p w:rsidR="00000000" w:rsidRDefault="009A43F2">
      <w:pPr>
        <w:kinsoku w:val="0"/>
        <w:overflowPunct w:val="0"/>
        <w:autoSpaceDE/>
        <w:autoSpaceDN/>
        <w:adjustRightInd/>
        <w:spacing w:before="587" w:line="282" w:lineRule="exact"/>
        <w:ind w:right="216"/>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PRIMERO: </w:t>
      </w:r>
      <w:r>
        <w:rPr>
          <w:rFonts w:ascii="Verdana" w:hAnsi="Verdana" w:cs="Verdana"/>
          <w:spacing w:val="-4"/>
          <w:sz w:val="23"/>
          <w:szCs w:val="23"/>
          <w:lang w:val="es-ES" w:eastAsia="es-ES"/>
        </w:rPr>
        <w:t xml:space="preserve">La señora </w:t>
      </w:r>
      <w:r>
        <w:rPr>
          <w:rFonts w:ascii="Verdana" w:hAnsi="Verdana" w:cs="Verdana"/>
          <w:b/>
          <w:bCs/>
          <w:spacing w:val="-4"/>
          <w:sz w:val="23"/>
          <w:szCs w:val="23"/>
          <w:lang w:val="es-ES" w:eastAsia="es-ES"/>
        </w:rPr>
        <w:t>E.J.M.</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presenta el 20 de enero de 2017, ante</w:t>
      </w:r>
      <w:r>
        <w:rPr>
          <w:rFonts w:ascii="Verdana" w:hAnsi="Verdana" w:cs="Verdana"/>
          <w:spacing w:val="-4"/>
          <w:sz w:val="23"/>
          <w:szCs w:val="23"/>
          <w:lang w:val="es-ES" w:eastAsia="es-ES"/>
        </w:rPr>
        <w:t xml:space="preserve"> este Tribunal Administrativo de Transporte </w:t>
      </w:r>
      <w:r>
        <w:rPr>
          <w:rFonts w:ascii="Verdana" w:hAnsi="Verdana" w:cs="Verdana"/>
          <w:b/>
          <w:bCs/>
          <w:spacing w:val="-4"/>
          <w:sz w:val="23"/>
          <w:szCs w:val="23"/>
          <w:lang w:val="es-ES" w:eastAsia="es-ES"/>
        </w:rPr>
        <w:t xml:space="preserve">Recurso de Revocatoria con Apelación en subsidio y Nulidad concomitante </w:t>
      </w:r>
      <w:r>
        <w:rPr>
          <w:rFonts w:ascii="Verdana" w:hAnsi="Verdana" w:cs="Verdana"/>
          <w:spacing w:val="-4"/>
          <w:sz w:val="23"/>
          <w:szCs w:val="23"/>
          <w:lang w:val="es-ES" w:eastAsia="es-ES"/>
        </w:rPr>
        <w:t xml:space="preserve">contra </w:t>
      </w:r>
      <w:r>
        <w:rPr>
          <w:rFonts w:ascii="Verdana" w:hAnsi="Verdana" w:cs="Verdana"/>
          <w:b/>
          <w:bCs/>
          <w:spacing w:val="-4"/>
          <w:sz w:val="23"/>
          <w:szCs w:val="23"/>
          <w:lang w:val="es-ES" w:eastAsia="es-ES"/>
        </w:rPr>
        <w:t xml:space="preserve">el oficio DAJ-INF-2016-0110 de 23 de diciembre de 2016 y la Resolución de 13 de enero de 2017, </w:t>
      </w:r>
      <w:r>
        <w:rPr>
          <w:rFonts w:ascii="Verdana" w:hAnsi="Verdana" w:cs="Verdana"/>
          <w:spacing w:val="-4"/>
          <w:sz w:val="23"/>
          <w:szCs w:val="23"/>
          <w:lang w:val="es-ES" w:eastAsia="es-ES"/>
        </w:rPr>
        <w:t>dictado por la JUNTA DIRECTIVA DEL CON</w:t>
      </w:r>
      <w:r>
        <w:rPr>
          <w:rFonts w:ascii="Verdana" w:hAnsi="Verdana" w:cs="Verdana"/>
          <w:spacing w:val="-4"/>
          <w:sz w:val="23"/>
          <w:szCs w:val="23"/>
          <w:lang w:val="es-ES" w:eastAsia="es-ES"/>
        </w:rPr>
        <w:t>SEJO DE TRANSPORTE PÚBLICO. No obstante, del escrito se extrae que el documento va dirigido también al Consejo de Transporte Público. (Léanse folios del 1 al 5 del Expediente Administrativo)</w:t>
      </w:r>
    </w:p>
    <w:p w:rsidR="00000000" w:rsidRDefault="009A43F2">
      <w:pPr>
        <w:kinsoku w:val="0"/>
        <w:overflowPunct w:val="0"/>
        <w:autoSpaceDE/>
        <w:autoSpaceDN/>
        <w:adjustRightInd/>
        <w:spacing w:before="407" w:line="280" w:lineRule="exact"/>
        <w:ind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En atención a prevención de este despacho la recurrente,</w:t>
      </w:r>
      <w:r>
        <w:rPr>
          <w:rFonts w:ascii="Verdana" w:hAnsi="Verdana" w:cs="Verdana"/>
          <w:sz w:val="23"/>
          <w:szCs w:val="23"/>
          <w:lang w:val="es-ES" w:eastAsia="es-ES"/>
        </w:rPr>
        <w:t xml:space="preserve"> se apersona e indica que el día 20 de enero de 2017 fue presentado el recurso de Revocatoria ante el Consejo de Transporte Público. (Léase folio 12 del expediente administrativo).</w:t>
      </w:r>
    </w:p>
    <w:p w:rsidR="00000000" w:rsidRDefault="009A43F2">
      <w:pPr>
        <w:kinsoku w:val="0"/>
        <w:overflowPunct w:val="0"/>
        <w:autoSpaceDE/>
        <w:autoSpaceDN/>
        <w:adjustRightInd/>
        <w:spacing w:before="313" w:line="266" w:lineRule="exact"/>
        <w:ind w:right="21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TERCERO: </w:t>
      </w:r>
      <w:r>
        <w:rPr>
          <w:rFonts w:ascii="Verdana" w:hAnsi="Verdana" w:cs="Verdana"/>
          <w:sz w:val="23"/>
          <w:szCs w:val="23"/>
          <w:lang w:val="es-ES" w:eastAsia="es-ES"/>
        </w:rPr>
        <w:t>En los procedimientos seguidos se han observado las prescripciones</w:t>
      </w:r>
      <w:r>
        <w:rPr>
          <w:rFonts w:ascii="Verdana" w:hAnsi="Verdana" w:cs="Verdana"/>
          <w:sz w:val="23"/>
          <w:szCs w:val="23"/>
          <w:lang w:val="es-ES" w:eastAsia="es-ES"/>
        </w:rPr>
        <w:t xml:space="preserve"> legales.</w:t>
      </w:r>
    </w:p>
    <w:p w:rsidR="00000000" w:rsidRDefault="009A43F2">
      <w:pPr>
        <w:kinsoku w:val="0"/>
        <w:overflowPunct w:val="0"/>
        <w:autoSpaceDE/>
        <w:autoSpaceDN/>
        <w:adjustRightInd/>
        <w:spacing w:before="296" w:line="273" w:lineRule="exact"/>
        <w:textAlignment w:val="baseline"/>
        <w:rPr>
          <w:rFonts w:ascii="Verdana" w:hAnsi="Verdana" w:cs="Verdana"/>
          <w:spacing w:val="3"/>
          <w:sz w:val="23"/>
          <w:szCs w:val="23"/>
          <w:lang w:val="es-ES" w:eastAsia="es-ES"/>
        </w:rPr>
      </w:pPr>
      <w:r>
        <w:rPr>
          <w:rFonts w:ascii="Verdana" w:hAnsi="Verdana" w:cs="Verdana"/>
          <w:spacing w:val="3"/>
          <w:sz w:val="23"/>
          <w:szCs w:val="23"/>
          <w:lang w:val="es-ES" w:eastAsia="es-ES"/>
        </w:rPr>
        <w:t>Redacta la Jueza Pérez Peláez.</w:t>
      </w:r>
    </w:p>
    <w:p w:rsidR="00000000" w:rsidRDefault="009A43F2">
      <w:pPr>
        <w:widowControl/>
        <w:rPr>
          <w:sz w:val="24"/>
          <w:szCs w:val="24"/>
        </w:rPr>
        <w:sectPr w:rsidR="00000000">
          <w:pgSz w:w="12240" w:h="15840"/>
          <w:pgMar w:top="2240" w:right="1615" w:bottom="40" w:left="1805" w:header="720" w:footer="720" w:gutter="0"/>
          <w:cols w:space="720"/>
          <w:noEndnote/>
        </w:sectPr>
      </w:pPr>
    </w:p>
    <w:p w:rsidR="00000000" w:rsidRDefault="009A43F2">
      <w:pPr>
        <w:kinsoku w:val="0"/>
        <w:overflowPunct w:val="0"/>
        <w:autoSpaceDE/>
        <w:autoSpaceDN/>
        <w:adjustRightInd/>
        <w:spacing w:before="14" w:line="281" w:lineRule="exact"/>
        <w:ind w:left="72"/>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lastRenderedPageBreak/>
        <w:t>CONSIDERANDO UNICO</w:t>
      </w:r>
    </w:p>
    <w:p w:rsidR="00000000" w:rsidRDefault="009A43F2">
      <w:pPr>
        <w:kinsoku w:val="0"/>
        <w:overflowPunct w:val="0"/>
        <w:autoSpaceDE/>
        <w:autoSpaceDN/>
        <w:adjustRightInd/>
        <w:spacing w:before="276"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Debe procederse al archivo del presente asunto, ya que la recurrente accionó ante el Consejo de Transporte Público mediant</w:t>
      </w:r>
      <w:r>
        <w:rPr>
          <w:rFonts w:ascii="Verdana" w:hAnsi="Verdana" w:cs="Verdana"/>
          <w:sz w:val="23"/>
          <w:szCs w:val="23"/>
          <w:lang w:val="es-ES" w:eastAsia="es-ES"/>
        </w:rPr>
        <w:t>e Recurso de Revocatoria, y con Apelación en subsidio ante el Tribunal Administrativo de Transporte, por lo que éste se ve inhibido para conocer del asunto, pues no ha sido resuelto el recurso de primera instancia.</w:t>
      </w:r>
    </w:p>
    <w:p w:rsidR="00000000" w:rsidRDefault="009A43F2">
      <w:pPr>
        <w:kinsoku w:val="0"/>
        <w:overflowPunct w:val="0"/>
        <w:autoSpaceDE/>
        <w:autoSpaceDN/>
        <w:adjustRightInd/>
        <w:spacing w:before="272"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 conformidad con el numeral 22 de La Le</w:t>
      </w:r>
      <w:r>
        <w:rPr>
          <w:rFonts w:ascii="Verdana" w:hAnsi="Verdana" w:cs="Verdana"/>
          <w:sz w:val="23"/>
          <w:szCs w:val="23"/>
          <w:lang w:val="es-ES" w:eastAsia="es-ES"/>
        </w:rPr>
        <w:t>y de Transporte Remunerado de Personas en Vehículos en la Modalidad de Taxi, N. 7969 del 22 de diciembre de 1999, el Tribunal es competente:</w:t>
      </w:r>
    </w:p>
    <w:p w:rsidR="00000000" w:rsidRDefault="009A43F2">
      <w:pPr>
        <w:kinsoku w:val="0"/>
        <w:overflowPunct w:val="0"/>
        <w:autoSpaceDE/>
        <w:autoSpaceDN/>
        <w:adjustRightInd/>
        <w:spacing w:before="271" w:line="233" w:lineRule="exact"/>
        <w:ind w:left="504"/>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"ARTÍCULO 22.- Competencia del Tribunal</w:t>
      </w:r>
    </w:p>
    <w:p w:rsidR="00000000" w:rsidRDefault="009A43F2">
      <w:pPr>
        <w:kinsoku w:val="0"/>
        <w:overflowPunct w:val="0"/>
        <w:autoSpaceDE/>
        <w:autoSpaceDN/>
        <w:adjustRightInd/>
        <w:spacing w:before="7" w:line="233" w:lineRule="exact"/>
        <w:ind w:left="504"/>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El Tribunal será competente para lo siguiente:</w:t>
      </w:r>
    </w:p>
    <w:p w:rsidR="00000000" w:rsidRDefault="009A43F2">
      <w:pPr>
        <w:numPr>
          <w:ilvl w:val="0"/>
          <w:numId w:val="1"/>
        </w:numPr>
        <w:kinsoku w:val="0"/>
        <w:overflowPunct w:val="0"/>
        <w:autoSpaceDE/>
        <w:autoSpaceDN/>
        <w:adjustRightInd/>
        <w:spacing w:before="235" w:line="239" w:lineRule="exact"/>
        <w:ind w:right="504"/>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Conocer y resolver, en sede administrativa, los recursos de apelación que se interpongan contra cualquier acto o resolución del Consejo.</w:t>
      </w:r>
    </w:p>
    <w:p w:rsidR="00000000" w:rsidRDefault="009A43F2">
      <w:pPr>
        <w:numPr>
          <w:ilvl w:val="0"/>
          <w:numId w:val="2"/>
        </w:numPr>
        <w:kinsoku w:val="0"/>
        <w:overflowPunct w:val="0"/>
        <w:autoSpaceDE/>
        <w:autoSpaceDN/>
        <w:adjustRightInd/>
        <w:spacing w:line="232" w:lineRule="exact"/>
        <w:ind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Establecer, en vía administrativa, las indemnizaciones que puedan originarse en relación con los daños producidos p</w:t>
      </w:r>
      <w:r>
        <w:rPr>
          <w:rFonts w:ascii="Verdana" w:hAnsi="Verdana" w:cs="Verdana"/>
          <w:i/>
          <w:iCs/>
          <w:sz w:val="19"/>
          <w:szCs w:val="19"/>
          <w:lang w:val="es-ES" w:eastAsia="es-ES"/>
        </w:rPr>
        <w:t>or violaciones de la legislación del transporte público.</w:t>
      </w:r>
    </w:p>
    <w:p w:rsidR="00000000" w:rsidRDefault="009A43F2">
      <w:pPr>
        <w:numPr>
          <w:ilvl w:val="0"/>
          <w:numId w:val="2"/>
        </w:numPr>
        <w:kinsoku w:val="0"/>
        <w:overflowPunct w:val="0"/>
        <w:autoSpaceDE/>
        <w:autoSpaceDN/>
        <w:adjustRightInd/>
        <w:spacing w:before="14" w:line="233" w:lineRule="exact"/>
        <w:ind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Las resoluciones del </w:t>
      </w:r>
      <w:r>
        <w:rPr>
          <w:rFonts w:ascii="Verdana" w:hAnsi="Verdana" w:cs="Verdana"/>
          <w:b/>
          <w:bCs/>
          <w:i/>
          <w:iCs/>
          <w:sz w:val="19"/>
          <w:szCs w:val="19"/>
          <w:lang w:val="es-ES" w:eastAsia="es-ES"/>
        </w:rPr>
        <w:t xml:space="preserve">Tribunal </w:t>
      </w:r>
      <w:r>
        <w:rPr>
          <w:rFonts w:ascii="Verdana" w:hAnsi="Verdana" w:cs="Verdana"/>
          <w:i/>
          <w:iCs/>
          <w:sz w:val="19"/>
          <w:szCs w:val="19"/>
          <w:lang w:val="es-ES" w:eastAsia="es-ES"/>
        </w:rPr>
        <w:t>no tendrán más recursos y darán por agotada la vía administrativa." ( el resaltado es nuestro)</w:t>
      </w:r>
    </w:p>
    <w:p w:rsidR="00000000" w:rsidRDefault="009A43F2">
      <w:pPr>
        <w:kinsoku w:val="0"/>
        <w:overflowPunct w:val="0"/>
        <w:autoSpaceDE/>
        <w:autoSpaceDN/>
        <w:adjustRightInd/>
        <w:spacing w:before="272"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Como se puede verificar de lo dicho, el órgano de alzada tiene la competen</w:t>
      </w:r>
      <w:r>
        <w:rPr>
          <w:rFonts w:ascii="Verdana" w:hAnsi="Verdana" w:cs="Verdana"/>
          <w:sz w:val="23"/>
          <w:szCs w:val="23"/>
          <w:lang w:val="es-ES" w:eastAsia="es-ES"/>
        </w:rPr>
        <w:t xml:space="preserve">cia para conocer de los recursos de apelación que se le presenten contra los actos del Consejo de Transporte Público, sin embargo, al revisar el recurso se puede verificar que </w:t>
      </w:r>
      <w:r>
        <w:rPr>
          <w:rFonts w:ascii="Verdana" w:hAnsi="Verdana" w:cs="Verdana"/>
          <w:b/>
          <w:bCs/>
          <w:sz w:val="23"/>
          <w:szCs w:val="23"/>
          <w:lang w:val="es-ES" w:eastAsia="es-ES"/>
        </w:rPr>
        <w:t>La L.E.J.M.</w:t>
      </w:r>
      <w:r>
        <w:rPr>
          <w:rFonts w:ascii="Verdana" w:hAnsi="Verdana" w:cs="Verdana"/>
          <w:b/>
          <w:bCs/>
          <w:sz w:val="23"/>
          <w:szCs w:val="23"/>
          <w:lang w:val="es-ES" w:eastAsia="es-ES"/>
        </w:rPr>
        <w:t xml:space="preserve"> </w:t>
      </w:r>
      <w:r>
        <w:rPr>
          <w:rFonts w:ascii="Verdana" w:hAnsi="Verdana" w:cs="Verdana"/>
          <w:sz w:val="23"/>
          <w:szCs w:val="23"/>
          <w:lang w:val="es-ES" w:eastAsia="es-ES"/>
        </w:rPr>
        <w:t>interpone la Revocatoria ante el CTP, mismo que se encuentra en trámite en el Consejo.</w:t>
      </w:r>
    </w:p>
    <w:p w:rsidR="00000000" w:rsidRDefault="009A43F2">
      <w:pPr>
        <w:kinsoku w:val="0"/>
        <w:overflowPunct w:val="0"/>
        <w:autoSpaceDE/>
        <w:autoSpaceDN/>
        <w:adjustRightInd/>
        <w:spacing w:before="306"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 acuerdo a lo anterior, el Tribunal debe inhibirse en este momento de conocer el asunto de conformidad con el artículo 347 de la Ley General de la Administración Públi</w:t>
      </w:r>
      <w:r>
        <w:rPr>
          <w:rFonts w:ascii="Verdana" w:hAnsi="Verdana" w:cs="Verdana"/>
          <w:sz w:val="23"/>
          <w:szCs w:val="23"/>
          <w:lang w:val="es-ES" w:eastAsia="es-ES"/>
        </w:rPr>
        <w:t>ca, el cual dispone lo siguiente:</w:t>
      </w:r>
    </w:p>
    <w:p w:rsidR="00000000" w:rsidRDefault="009A43F2">
      <w:pPr>
        <w:kinsoku w:val="0"/>
        <w:overflowPunct w:val="0"/>
        <w:autoSpaceDE/>
        <w:autoSpaceDN/>
        <w:adjustRightInd/>
        <w:spacing w:before="542" w:line="288" w:lineRule="exact"/>
        <w:ind w:left="720"/>
        <w:textAlignment w:val="baseline"/>
        <w:rPr>
          <w:rFonts w:ascii="Verdana" w:hAnsi="Verdana" w:cs="Verdana"/>
          <w:sz w:val="24"/>
          <w:szCs w:val="24"/>
          <w:lang w:eastAsia="en-US"/>
        </w:rPr>
      </w:pPr>
      <w:r>
        <w:rPr>
          <w:rFonts w:ascii="Verdana" w:hAnsi="Verdana" w:cs="Verdana"/>
          <w:i/>
          <w:iCs/>
          <w:spacing w:val="-2"/>
          <w:sz w:val="23"/>
          <w:szCs w:val="23"/>
          <w:lang w:val="es-ES" w:eastAsia="es-ES"/>
        </w:rPr>
        <w:t>"Artículo 347.</w:t>
      </w:r>
      <w:r>
        <w:rPr>
          <w:rFonts w:ascii="Verdana" w:hAnsi="Verdana" w:cs="Verdana"/>
          <w:i/>
          <w:iCs/>
          <w:spacing w:val="-2"/>
          <w:sz w:val="23"/>
          <w:szCs w:val="23"/>
          <w:lang w:val="es-ES" w:eastAsia="es-ES"/>
        </w:rPr>
        <w:noBreakHyphen/>
      </w:r>
    </w:p>
    <w:p w:rsidR="00000000" w:rsidRDefault="009A43F2">
      <w:pPr>
        <w:numPr>
          <w:ilvl w:val="0"/>
          <w:numId w:val="3"/>
        </w:numPr>
        <w:kinsoku w:val="0"/>
        <w:overflowPunct w:val="0"/>
        <w:autoSpaceDE/>
        <w:autoSpaceDN/>
        <w:adjustRightInd/>
        <w:spacing w:before="294" w:line="278" w:lineRule="exact"/>
        <w:ind w:right="648"/>
        <w:textAlignment w:val="baseline"/>
        <w:rPr>
          <w:rFonts w:ascii="Verdana" w:hAnsi="Verdana" w:cs="Verdana"/>
          <w:i/>
          <w:iCs/>
          <w:sz w:val="23"/>
          <w:szCs w:val="23"/>
          <w:lang w:val="es-ES" w:eastAsia="es-ES"/>
        </w:rPr>
      </w:pPr>
      <w:r>
        <w:rPr>
          <w:rFonts w:ascii="Verdana" w:hAnsi="Verdana" w:cs="Verdana"/>
          <w:i/>
          <w:iCs/>
          <w:sz w:val="23"/>
          <w:szCs w:val="23"/>
          <w:lang w:val="es-ES" w:eastAsia="es-ES"/>
        </w:rPr>
        <w:t>Los recursos podrán también interponerse haciéndolo constar en el acta de la notificación respectiva.</w:t>
      </w:r>
    </w:p>
    <w:p w:rsidR="00000000" w:rsidRDefault="009A43F2">
      <w:pPr>
        <w:numPr>
          <w:ilvl w:val="0"/>
          <w:numId w:val="3"/>
        </w:numPr>
        <w:kinsoku w:val="0"/>
        <w:overflowPunct w:val="0"/>
        <w:autoSpaceDE/>
        <w:autoSpaceDN/>
        <w:adjustRightInd/>
        <w:spacing w:line="288" w:lineRule="exact"/>
        <w:ind w:right="648"/>
        <w:jc w:val="both"/>
        <w:textAlignment w:val="baseline"/>
        <w:rPr>
          <w:rFonts w:ascii="Verdana" w:hAnsi="Verdana" w:cs="Verdana"/>
          <w:i/>
          <w:iCs/>
          <w:sz w:val="23"/>
          <w:szCs w:val="23"/>
          <w:lang w:val="es-ES" w:eastAsia="es-ES"/>
        </w:rPr>
      </w:pPr>
      <w:r>
        <w:rPr>
          <w:rFonts w:ascii="Verdana" w:hAnsi="Verdana" w:cs="Verdana"/>
          <w:i/>
          <w:iCs/>
          <w:sz w:val="23"/>
          <w:szCs w:val="23"/>
          <w:lang w:val="es-ES" w:eastAsia="es-ES"/>
        </w:rPr>
        <w:t>Es potestativo usar ambos recursos ordinarios o uno solo de ellos, pero será</w:t>
      </w:r>
      <w:r>
        <w:rPr>
          <w:rFonts w:ascii="Verdana" w:hAnsi="Verdana" w:cs="Verdana"/>
          <w:i/>
          <w:iCs/>
          <w:sz w:val="23"/>
          <w:szCs w:val="23"/>
          <w:lang w:val="es-ES" w:eastAsia="es-ES"/>
        </w:rPr>
        <w:t xml:space="preserve"> inadmisible el que se interponga pasados los términos fijados en el artículo anterior.</w:t>
      </w:r>
    </w:p>
    <w:p w:rsidR="00000000" w:rsidRDefault="009A43F2">
      <w:pPr>
        <w:widowControl/>
        <w:rPr>
          <w:sz w:val="24"/>
          <w:szCs w:val="24"/>
        </w:rPr>
        <w:sectPr w:rsidR="00000000" w:rsidSect="009A43F2">
          <w:pgSz w:w="12240" w:h="15840"/>
          <w:pgMar w:top="2836" w:right="1820" w:bottom="160" w:left="1600" w:header="720" w:footer="720" w:gutter="0"/>
          <w:cols w:space="720"/>
          <w:noEndnote/>
        </w:sectPr>
      </w:pPr>
    </w:p>
    <w:p w:rsidR="00000000" w:rsidRDefault="009A43F2" w:rsidP="009A43F2">
      <w:pPr>
        <w:numPr>
          <w:ilvl w:val="0"/>
          <w:numId w:val="3"/>
        </w:numPr>
        <w:kinsoku w:val="0"/>
        <w:overflowPunct w:val="0"/>
        <w:autoSpaceDE/>
        <w:autoSpaceDN/>
        <w:adjustRightInd/>
        <w:spacing w:before="28" w:line="285" w:lineRule="exact"/>
        <w:ind w:right="648"/>
        <w:jc w:val="both"/>
        <w:textAlignment w:val="baseline"/>
        <w:rPr>
          <w:rFonts w:ascii="Verdana" w:hAnsi="Verdana" w:cs="Verdana"/>
          <w:i/>
          <w:iCs/>
          <w:spacing w:val="4"/>
          <w:sz w:val="23"/>
          <w:szCs w:val="23"/>
          <w:lang w:val="es-ES" w:eastAsia="es-ES"/>
        </w:rPr>
      </w:pPr>
      <w:r>
        <w:rPr>
          <w:noProof/>
          <w:lang w:val="es-CR"/>
        </w:rPr>
        <mc:AlternateContent>
          <mc:Choice Requires="wps">
            <w:drawing>
              <wp:anchor distT="0" distB="0" distL="0" distR="0" simplePos="0" relativeHeight="251658240" behindDoc="0" locked="0" layoutInCell="0" allowOverlap="1">
                <wp:simplePos x="0" y="0"/>
                <wp:positionH relativeFrom="page">
                  <wp:posOffset>3794760</wp:posOffset>
                </wp:positionH>
                <wp:positionV relativeFrom="page">
                  <wp:posOffset>5200015</wp:posOffset>
                </wp:positionV>
                <wp:extent cx="40005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7242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8.8pt,409.45pt" to="330.3pt,4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ArEQIAACg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" o:allowincell="f" strokeweight=".95pt">
                <w10:wrap type="square" anchorx="page" anchory="page"/>
              </v:line>
            </w:pict>
          </mc:Fallback>
        </mc:AlternateContent>
      </w:r>
      <w:r>
        <w:rPr>
          <w:rFonts w:ascii="Verdana" w:hAnsi="Verdana" w:cs="Verdana"/>
          <w:b/>
          <w:bCs/>
          <w:i/>
          <w:iCs/>
          <w:spacing w:val="4"/>
          <w:sz w:val="23"/>
          <w:szCs w:val="23"/>
          <w:lang w:val="es-ES" w:eastAsia="es-ES"/>
        </w:rPr>
        <w:t xml:space="preserve">Si se interponen ambos recursos a la vez, se tramitará la apelación una vez declarada sin lugar la revocatoria. "(El </w:t>
      </w:r>
      <w:r>
        <w:rPr>
          <w:rFonts w:ascii="Verdana" w:hAnsi="Verdana" w:cs="Verdana"/>
          <w:i/>
          <w:iCs/>
          <w:spacing w:val="4"/>
          <w:sz w:val="23"/>
          <w:szCs w:val="23"/>
          <w:lang w:val="es-ES" w:eastAsia="es-ES"/>
        </w:rPr>
        <w:t>Resalta</w:t>
      </w:r>
      <w:r>
        <w:rPr>
          <w:rFonts w:ascii="Verdana" w:hAnsi="Verdana" w:cs="Verdana"/>
          <w:i/>
          <w:iCs/>
          <w:spacing w:val="4"/>
          <w:sz w:val="23"/>
          <w:szCs w:val="23"/>
          <w:lang w:val="es-ES" w:eastAsia="es-ES"/>
        </w:rPr>
        <w:t>do es nuestro)</w:t>
      </w:r>
    </w:p>
    <w:p w:rsidR="009A43F2" w:rsidRDefault="009A43F2" w:rsidP="009A43F2">
      <w:pPr>
        <w:pStyle w:val="Prrafodelista"/>
        <w:rPr>
          <w:rFonts w:ascii="Verdana" w:hAnsi="Verdana" w:cs="Verdana"/>
          <w:i/>
          <w:iCs/>
          <w:spacing w:val="4"/>
          <w:sz w:val="23"/>
          <w:szCs w:val="23"/>
          <w:lang w:val="es-ES" w:eastAsia="es-ES"/>
        </w:rPr>
      </w:pPr>
    </w:p>
    <w:p w:rsidR="009A43F2" w:rsidRDefault="009A43F2" w:rsidP="009A43F2">
      <w:pPr>
        <w:kinsoku w:val="0"/>
        <w:overflowPunct w:val="0"/>
        <w:autoSpaceDE/>
        <w:autoSpaceDN/>
        <w:adjustRightInd/>
        <w:spacing w:before="28" w:line="285" w:lineRule="exact"/>
        <w:ind w:left="792" w:right="648"/>
        <w:jc w:val="both"/>
        <w:textAlignment w:val="baseline"/>
        <w:rPr>
          <w:rFonts w:ascii="Verdana" w:hAnsi="Verdana" w:cs="Verdana"/>
          <w:i/>
          <w:iCs/>
          <w:spacing w:val="4"/>
          <w:sz w:val="23"/>
          <w:szCs w:val="23"/>
          <w:lang w:val="es-ES" w:eastAsia="es-ES"/>
        </w:rPr>
      </w:pPr>
      <w:bookmarkStart w:id="0" w:name="_GoBack"/>
      <w:bookmarkEnd w:id="0"/>
    </w:p>
    <w:p w:rsidR="00000000" w:rsidRDefault="009A43F2">
      <w:pPr>
        <w:kinsoku w:val="0"/>
        <w:overflowPunct w:val="0"/>
        <w:autoSpaceDE/>
        <w:autoSpaceDN/>
        <w:adjustRightInd/>
        <w:spacing w:before="282" w:line="286"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En conclusión, una vez resuelto el recurso de primera instancia y de ser declarado sin lugar por el CTP, el Tribunal Administrativo de Transporte podrá conocer del Recurso de Alzada, más en este momento debe procederse al archivo del mismo p</w:t>
      </w:r>
      <w:r>
        <w:rPr>
          <w:rFonts w:ascii="Verdana" w:hAnsi="Verdana" w:cs="Verdana"/>
          <w:sz w:val="23"/>
          <w:szCs w:val="23"/>
          <w:lang w:val="es-ES" w:eastAsia="es-ES"/>
        </w:rPr>
        <w:t>or prematuro.</w:t>
      </w:r>
    </w:p>
    <w:p w:rsidR="00000000" w:rsidRDefault="009A43F2">
      <w:pPr>
        <w:kinsoku w:val="0"/>
        <w:overflowPunct w:val="0"/>
        <w:autoSpaceDE/>
        <w:autoSpaceDN/>
        <w:adjustRightInd/>
        <w:spacing w:before="568" w:line="279"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POR TANTO</w:t>
      </w:r>
    </w:p>
    <w:p w:rsidR="00000000" w:rsidRDefault="009A43F2">
      <w:pPr>
        <w:numPr>
          <w:ilvl w:val="0"/>
          <w:numId w:val="4"/>
        </w:numPr>
        <w:kinsoku w:val="0"/>
        <w:overflowPunct w:val="0"/>
        <w:autoSpaceDE/>
        <w:autoSpaceDN/>
        <w:adjustRightInd/>
        <w:spacing w:before="295" w:line="286" w:lineRule="exact"/>
        <w:ind w:right="72"/>
        <w:jc w:val="both"/>
        <w:textAlignment w:val="baseline"/>
        <w:rPr>
          <w:lang w:val="es-ES" w:eastAsia="es-ES"/>
        </w:rPr>
      </w:pPr>
      <w:r>
        <w:rPr>
          <w:rFonts w:ascii="Verdana" w:hAnsi="Verdana" w:cs="Verdana"/>
          <w:sz w:val="23"/>
          <w:szCs w:val="23"/>
          <w:lang w:val="es-ES" w:eastAsia="es-ES"/>
        </w:rPr>
        <w:t xml:space="preserve">Se ordena el archivo por prematuro del </w:t>
      </w:r>
      <w:r>
        <w:rPr>
          <w:rFonts w:ascii="Verdana" w:hAnsi="Verdana" w:cs="Verdana"/>
          <w:b/>
          <w:bCs/>
          <w:sz w:val="23"/>
          <w:szCs w:val="23"/>
          <w:lang w:val="es-ES" w:eastAsia="es-ES"/>
        </w:rPr>
        <w:t xml:space="preserve">Recurso de Apelación y Nulidad concomitante, </w:t>
      </w:r>
      <w:r>
        <w:rPr>
          <w:rFonts w:ascii="Verdana" w:hAnsi="Verdana" w:cs="Verdana"/>
          <w:sz w:val="23"/>
          <w:szCs w:val="23"/>
          <w:lang w:val="es-ES" w:eastAsia="es-ES"/>
        </w:rPr>
        <w:t xml:space="preserve">interpuesto por </w:t>
      </w:r>
      <w:r w:rsidRPr="009A43F2">
        <w:rPr>
          <w:rFonts w:ascii="Verdana" w:hAnsi="Verdana" w:cs="Verdana"/>
          <w:b/>
          <w:bCs/>
          <w:sz w:val="23"/>
          <w:szCs w:val="23"/>
          <w:lang w:val="es-ES" w:eastAsia="es-ES"/>
        </w:rPr>
        <w:t>E.J.M.</w:t>
      </w:r>
      <w:r w:rsidRPr="009A43F2">
        <w:rPr>
          <w:rFonts w:ascii="Verdana" w:hAnsi="Verdana" w:cs="Verdana"/>
          <w:b/>
          <w:bCs/>
          <w:sz w:val="23"/>
          <w:szCs w:val="23"/>
          <w:lang w:val="es-ES" w:eastAsia="es-ES"/>
        </w:rPr>
        <w:t>,</w:t>
      </w:r>
      <w:r>
        <w:rPr>
          <w:b/>
          <w:bCs/>
          <w:lang w:val="es-ES" w:eastAsia="es-ES"/>
        </w:rPr>
        <w:t xml:space="preserve"> CEDULA DE IDENTIDAD NÚMERO …</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contra </w:t>
      </w:r>
      <w:r>
        <w:rPr>
          <w:rFonts w:ascii="Verdana" w:hAnsi="Verdana" w:cs="Verdana"/>
          <w:b/>
          <w:bCs/>
          <w:sz w:val="23"/>
          <w:szCs w:val="23"/>
          <w:lang w:val="es-ES" w:eastAsia="es-ES"/>
        </w:rPr>
        <w:t>el oficio DAJ</w:t>
      </w:r>
      <w:r>
        <w:rPr>
          <w:rFonts w:ascii="Verdana" w:hAnsi="Verdana" w:cs="Verdana"/>
          <w:b/>
          <w:bCs/>
          <w:sz w:val="23"/>
          <w:szCs w:val="23"/>
          <w:lang w:val="es-ES" w:eastAsia="es-ES"/>
        </w:rPr>
        <w:t>-INF-2016-0110 de 23 de diciembre de 2016 y la R</w:t>
      </w:r>
      <w:r>
        <w:rPr>
          <w:rFonts w:ascii="Verdana" w:hAnsi="Verdana" w:cs="Verdana"/>
          <w:b/>
          <w:bCs/>
          <w:sz w:val="23"/>
          <w:szCs w:val="23"/>
          <w:lang w:val="es-ES" w:eastAsia="es-ES"/>
        </w:rPr>
        <w:t xml:space="preserve">esolución de 13 de enero de 2017, </w:t>
      </w:r>
      <w:r>
        <w:rPr>
          <w:rFonts w:ascii="Verdana" w:hAnsi="Verdana" w:cs="Verdana"/>
          <w:sz w:val="23"/>
          <w:szCs w:val="23"/>
          <w:lang w:val="es-ES" w:eastAsia="es-ES"/>
        </w:rPr>
        <w:t xml:space="preserve">dictado por la </w:t>
      </w:r>
      <w:r>
        <w:rPr>
          <w:lang w:val="es-ES" w:eastAsia="es-ES"/>
        </w:rPr>
        <w:t>JUNTA DIRECTIVA DEL CONSEJO DE TRANSPORTE PÚBLICO.</w:t>
      </w:r>
    </w:p>
    <w:p w:rsidR="00000000" w:rsidRPr="009A43F2" w:rsidRDefault="009A43F2" w:rsidP="009A43F2">
      <w:pPr>
        <w:numPr>
          <w:ilvl w:val="0"/>
          <w:numId w:val="5"/>
        </w:numPr>
        <w:kinsoku w:val="0"/>
        <w:overflowPunct w:val="0"/>
        <w:autoSpaceDE/>
        <w:autoSpaceDN/>
        <w:adjustRightInd/>
        <w:spacing w:before="270" w:after="446" w:line="287" w:lineRule="exact"/>
        <w:jc w:val="both"/>
        <w:textAlignment w:val="baseline"/>
        <w:rPr>
          <w:rFonts w:ascii="Verdana" w:hAnsi="Verdana" w:cs="Verdana"/>
          <w:sz w:val="23"/>
          <w:szCs w:val="23"/>
          <w:lang w:val="es-ES" w:eastAsia="es-ES"/>
        </w:rPr>
      </w:pPr>
      <w:r>
        <w:rPr>
          <w:rFonts w:ascii="Verdana" w:hAnsi="Verdana" w:cs="Verdana"/>
          <w:b/>
          <w:bCs/>
          <w:spacing w:val="5"/>
          <w:sz w:val="23"/>
          <w:szCs w:val="23"/>
          <w:lang w:val="es-ES" w:eastAsia="es-ES"/>
        </w:rPr>
        <w:t>NOTIFIQUESE.</w:t>
      </w:r>
      <w:r>
        <w:rPr>
          <w:sz w:val="24"/>
          <w:szCs w:val="24"/>
        </w:rPr>
        <w:t xml:space="preserve"> </w:t>
      </w:r>
    </w:p>
    <w:p w:rsidR="009A43F2" w:rsidRPr="00CF40A0" w:rsidRDefault="009A43F2" w:rsidP="009A43F2">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A43F2" w:rsidRDefault="009A43F2" w:rsidP="009A43F2">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9A43F2" w:rsidRDefault="009A43F2" w:rsidP="009A43F2">
      <w:pPr>
        <w:kinsoku w:val="0"/>
        <w:overflowPunct w:val="0"/>
        <w:autoSpaceDE/>
        <w:autoSpaceDN/>
        <w:adjustRightInd/>
        <w:spacing w:before="270" w:after="446" w:line="287" w:lineRule="exact"/>
        <w:ind w:left="144"/>
        <w:jc w:val="center"/>
        <w:textAlignment w:val="baseline"/>
        <w:rPr>
          <w:rFonts w:ascii="Verdana" w:hAnsi="Verdana" w:cs="Verdana"/>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9A43F2" w:rsidSect="009A43F2">
      <w:type w:val="continuous"/>
      <w:pgSz w:w="12240" w:h="15840"/>
      <w:pgMar w:top="2280" w:right="1680" w:bottom="20" w:left="17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CB0B"/>
    <w:multiLevelType w:val="singleLevel"/>
    <w:tmpl w:val="6F7F518D"/>
    <w:lvl w:ilvl="0">
      <w:start w:val="1"/>
      <w:numFmt w:val="decimal"/>
      <w:lvlText w:val="%1."/>
      <w:lvlJc w:val="left"/>
      <w:pPr>
        <w:tabs>
          <w:tab w:val="num" w:pos="1008"/>
        </w:tabs>
        <w:ind w:left="792"/>
      </w:pPr>
      <w:rPr>
        <w:rFonts w:ascii="Verdana" w:hAnsi="Verdana" w:cs="Verdana"/>
        <w:i/>
        <w:iCs/>
        <w:snapToGrid/>
        <w:sz w:val="23"/>
        <w:szCs w:val="23"/>
      </w:rPr>
    </w:lvl>
  </w:abstractNum>
  <w:abstractNum w:abstractNumId="1" w15:restartNumberingAfterBreak="0">
    <w:nsid w:val="0478B54D"/>
    <w:multiLevelType w:val="singleLevel"/>
    <w:tmpl w:val="1FDF82A9"/>
    <w:lvl w:ilvl="0">
      <w:start w:val="1"/>
      <w:numFmt w:val="lowerLetter"/>
      <w:lvlText w:val="%1)"/>
      <w:lvlJc w:val="left"/>
      <w:pPr>
        <w:tabs>
          <w:tab w:val="num" w:pos="792"/>
        </w:tabs>
        <w:ind w:left="504"/>
      </w:pPr>
      <w:rPr>
        <w:rFonts w:ascii="Verdana" w:hAnsi="Verdana" w:cs="Verdana"/>
        <w:b/>
        <w:bCs/>
        <w:i/>
        <w:iCs/>
        <w:snapToGrid/>
        <w:sz w:val="19"/>
        <w:szCs w:val="19"/>
      </w:rPr>
    </w:lvl>
  </w:abstractNum>
  <w:abstractNum w:abstractNumId="2" w15:restartNumberingAfterBreak="0">
    <w:nsid w:val="060229E7"/>
    <w:multiLevelType w:val="singleLevel"/>
    <w:tmpl w:val="1AB792F6"/>
    <w:lvl w:ilvl="0">
      <w:start w:val="1"/>
      <w:numFmt w:val="upperRoman"/>
      <w:lvlText w:val="%1.-"/>
      <w:lvlJc w:val="left"/>
      <w:pPr>
        <w:tabs>
          <w:tab w:val="num" w:pos="648"/>
        </w:tabs>
        <w:ind w:left="144"/>
      </w:pPr>
      <w:rPr>
        <w:rFonts w:ascii="Verdana" w:hAnsi="Verdana" w:cs="Verdana"/>
        <w:snapToGrid/>
        <w:sz w:val="23"/>
        <w:szCs w:val="23"/>
      </w:rPr>
    </w:lvl>
  </w:abstractNum>
  <w:num w:numId="1">
    <w:abstractNumId w:val="1"/>
  </w:num>
  <w:num w:numId="2">
    <w:abstractNumId w:val="1"/>
    <w:lvlOverride w:ilvl="0">
      <w:lvl w:ilvl="0">
        <w:numFmt w:val="lowerLetter"/>
        <w:lvlText w:val="%1)"/>
        <w:lvlJc w:val="left"/>
        <w:pPr>
          <w:tabs>
            <w:tab w:val="num" w:pos="792"/>
          </w:tabs>
          <w:ind w:left="504"/>
        </w:pPr>
        <w:rPr>
          <w:rFonts w:ascii="Verdana" w:hAnsi="Verdana" w:cs="Verdana"/>
          <w:i/>
          <w:iCs/>
          <w:snapToGrid/>
          <w:sz w:val="19"/>
          <w:szCs w:val="19"/>
        </w:rPr>
      </w:lvl>
    </w:lvlOverride>
  </w:num>
  <w:num w:numId="3">
    <w:abstractNumId w:val="0"/>
  </w:num>
  <w:num w:numId="4">
    <w:abstractNumId w:val="2"/>
  </w:num>
  <w:num w:numId="5">
    <w:abstractNumId w:val="2"/>
    <w:lvlOverride w:ilvl="0">
      <w:lvl w:ilvl="0">
        <w:numFmt w:val="upperRoman"/>
        <w:lvlText w:val="%1.-"/>
        <w:lvlJc w:val="left"/>
        <w:pPr>
          <w:tabs>
            <w:tab w:val="num" w:pos="648"/>
          </w:tabs>
          <w:ind w:left="144"/>
        </w:pPr>
        <w:rPr>
          <w:rFonts w:ascii="Verdana" w:hAnsi="Verdana" w:cs="Verdana"/>
          <w:b/>
          <w:bCs/>
          <w:snapToGrid/>
          <w:spacing w:val="5"/>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F2"/>
    <w:rsid w:val="009A43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32C60"/>
  <w14:defaultImageDpi w14:val="0"/>
  <w15:docId w15:val="{717C97C3-C9E0-48E2-888E-3F1DE988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A43F2"/>
    <w:rPr>
      <w:lang w:val="es-CR"/>
    </w:rPr>
  </w:style>
  <w:style w:type="character" w:customStyle="1" w:styleId="CharacterStyle1">
    <w:name w:val="Character Style 1"/>
    <w:uiPriority w:val="99"/>
    <w:rsid w:val="009A43F2"/>
    <w:rPr>
      <w:sz w:val="20"/>
      <w:szCs w:val="20"/>
    </w:rPr>
  </w:style>
  <w:style w:type="paragraph" w:styleId="Prrafodelista">
    <w:name w:val="List Paragraph"/>
    <w:basedOn w:val="Normal"/>
    <w:uiPriority w:val="34"/>
    <w:qFormat/>
    <w:rsid w:val="009A43F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2017-03-27T20:57:00Z</dcterms:created>
  <dcterms:modified xsi:type="dcterms:W3CDTF">2017-03-27T20:57:00Z</dcterms:modified>
</cp:coreProperties>
</file>